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79" w:rsidRPr="00B44407" w:rsidRDefault="00094879" w:rsidP="00094879">
      <w:pPr>
        <w:spacing w:before="120" w:after="0"/>
        <w:jc w:val="center"/>
        <w:rPr>
          <w:caps/>
          <w:sz w:val="28"/>
          <w:szCs w:val="28"/>
          <w:lang w:val="sr-Cyrl-RS"/>
        </w:rPr>
      </w:pPr>
      <w:bookmarkStart w:id="0" w:name="_GoBack"/>
      <w:r w:rsidRPr="00B44407">
        <w:rPr>
          <w:caps/>
          <w:sz w:val="28"/>
          <w:szCs w:val="28"/>
          <w:lang w:val="sr-Cyrl-RS"/>
        </w:rPr>
        <w:t>Интерактивни тестови за формативне процене постигнућа ученика</w:t>
      </w:r>
    </w:p>
    <w:bookmarkEnd w:id="0"/>
    <w:p w:rsidR="00094879" w:rsidRPr="00E830D0" w:rsidRDefault="00094879" w:rsidP="00094879">
      <w:pPr>
        <w:spacing w:before="120" w:after="0"/>
        <w:rPr>
          <w:color w:val="FF0000"/>
          <w:sz w:val="24"/>
          <w:szCs w:val="24"/>
          <w:lang w:val="ru-RU"/>
        </w:rPr>
      </w:pPr>
    </w:p>
    <w:p w:rsidR="00094879" w:rsidRDefault="00094879" w:rsidP="00094879">
      <w:pPr>
        <w:spacing w:before="120" w:after="0"/>
        <w:jc w:val="both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 xml:space="preserve">Наша наставна пракса наставе математике у основним и средњим школама подразумева периодичне сумативне провере знања. Сложићемо се, да се оно најважније у настави математике ипак дешава у периоду припрема за те сумативне процене. </w:t>
      </w:r>
      <w:r w:rsidRPr="00E830D0">
        <w:rPr>
          <w:color w:val="000000"/>
          <w:sz w:val="24"/>
          <w:szCs w:val="24"/>
          <w:lang w:val="ru-RU"/>
        </w:rPr>
        <w:t>Интуитивно јасна, препоручена формативна процена претворила у врло учестале петнаестоминутне контролне вежбе, које захтевају много времена за преглед а за резултат имају минијатурна сумативна својства. То су оцене које се разматрају равноправно за просек.</w:t>
      </w:r>
      <w:r w:rsidRPr="00E830D0">
        <w:rPr>
          <w:color w:val="000000"/>
          <w:sz w:val="24"/>
          <w:szCs w:val="24"/>
        </w:rPr>
        <w:t> </w:t>
      </w:r>
      <w:r w:rsidRPr="00E830D0">
        <w:rPr>
          <w:color w:val="000000"/>
          <w:sz w:val="24"/>
          <w:szCs w:val="24"/>
          <w:lang w:val="ru-RU"/>
        </w:rPr>
        <w:t xml:space="preserve"> </w:t>
      </w:r>
    </w:p>
    <w:p w:rsidR="00094879" w:rsidRDefault="00094879" w:rsidP="00094879">
      <w:pPr>
        <w:spacing w:before="120" w:after="0"/>
        <w:jc w:val="both"/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</w:t>
      </w:r>
      <w:r>
        <w:rPr>
          <w:color w:val="000000"/>
          <w:sz w:val="24"/>
          <w:szCs w:val="24"/>
          <w:lang w:val="sr-Cyrl-RS"/>
        </w:rPr>
        <w:tab/>
      </w:r>
      <w:r w:rsidRPr="00E830D0">
        <w:rPr>
          <w:color w:val="000000"/>
          <w:sz w:val="24"/>
          <w:szCs w:val="24"/>
          <w:lang w:val="ru-RU"/>
        </w:rPr>
        <w:t xml:space="preserve">Међутим, ово је у супротности са самом природом формативне процене која треба неоптерећена оценом, да буде фактор корекције и наставнику и ученику у процесу учења. </w:t>
      </w:r>
      <w:r w:rsidRPr="00E830D0">
        <w:rPr>
          <w:sz w:val="24"/>
          <w:szCs w:val="24"/>
          <w:lang w:val="ru-RU"/>
        </w:rPr>
        <w:t xml:space="preserve">У ову сврху веома добро могу послужити интерактивни тестови који подразумевају примену ИКТ-а. </w:t>
      </w:r>
      <w:r w:rsidRPr="00E830D0">
        <w:rPr>
          <w:color w:val="000000"/>
          <w:sz w:val="24"/>
          <w:szCs w:val="24"/>
        </w:rPr>
        <w:t> </w:t>
      </w:r>
      <w:r w:rsidRPr="00E830D0">
        <w:rPr>
          <w:color w:val="000000"/>
          <w:sz w:val="24"/>
          <w:szCs w:val="24"/>
          <w:lang w:val="ru-RU"/>
        </w:rPr>
        <w:t>Резултат формативног теста никада не треба да изненади, али треба да иницира одговарајуће активности.</w:t>
      </w:r>
      <w:r w:rsidRPr="00E830D0">
        <w:rPr>
          <w:sz w:val="24"/>
          <w:szCs w:val="24"/>
          <w:lang w:val="ru-RU"/>
        </w:rPr>
        <w:t xml:space="preserve"> </w:t>
      </w:r>
    </w:p>
    <w:p w:rsidR="00094879" w:rsidRPr="00B44407" w:rsidRDefault="00094879" w:rsidP="00094879">
      <w:pPr>
        <w:spacing w:before="120"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 xml:space="preserve">Ово кратко саопштење на Семинару ДМС  било би водич кроз математички блог </w:t>
      </w:r>
      <w:hyperlink r:id="rId7" w:history="1">
        <w:r w:rsidRPr="00E830D0">
          <w:rPr>
            <w:rStyle w:val="Hyperlink"/>
            <w:color w:val="7030A0"/>
            <w:sz w:val="24"/>
            <w:szCs w:val="24"/>
            <w:lang w:val="ru-RU"/>
          </w:rPr>
          <w:t>Матема моменти</w:t>
        </w:r>
      </w:hyperlink>
      <w:r w:rsidRPr="00E830D0">
        <w:rPr>
          <w:sz w:val="24"/>
          <w:szCs w:val="24"/>
          <w:lang w:val="ru-RU"/>
        </w:rPr>
        <w:t xml:space="preserve">, који уређујем и одржавам да бих архивирала своје радне материјале, планове и изабране лекције, али исто тако да би они били доступни и заинтересованим колегама. На сусрету бих колегама наставницима дала пар упутстава о начину организације докумената на блогу за реализације на часовима. Довољно је имати једну електронску таблу и добру интернет везу да би се са одељењем организовао занимљив електронски квиз, а најбоље би било када би ученици појединачно имали приступ интернету са смарт телефона или таблета. </w:t>
      </w:r>
      <w:r w:rsidRPr="00E830D0">
        <w:rPr>
          <w:color w:val="000000"/>
          <w:sz w:val="24"/>
          <w:szCs w:val="24"/>
          <w:lang w:val="ru-RU"/>
        </w:rPr>
        <w:t>Много је начина да се што више ученика укључи у рад и начине формативне процене:</w:t>
      </w:r>
    </w:p>
    <w:p w:rsidR="00094879" w:rsidRPr="00E830D0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240" w:lineRule="auto"/>
        <w:ind w:left="360"/>
        <w:textAlignment w:val="baseline"/>
        <w:rPr>
          <w:color w:val="000000"/>
          <w:sz w:val="24"/>
          <w:szCs w:val="24"/>
          <w:lang w:val="ru-RU"/>
        </w:rPr>
      </w:pPr>
      <w:r w:rsidRPr="00E830D0">
        <w:rPr>
          <w:color w:val="000000"/>
          <w:sz w:val="24"/>
          <w:szCs w:val="24"/>
          <w:lang w:val="ru-RU"/>
        </w:rPr>
        <w:t>Договор да се ученици не јављају да одговоре, већ се неко време након што наставник формулише питање,</w:t>
      </w:r>
      <w:r w:rsidRPr="00E830D0">
        <w:rPr>
          <w:color w:val="000000"/>
          <w:sz w:val="24"/>
          <w:szCs w:val="24"/>
        </w:rPr>
        <w:t> </w:t>
      </w:r>
      <w:r w:rsidRPr="00E830D0">
        <w:rPr>
          <w:color w:val="000000"/>
          <w:sz w:val="24"/>
          <w:szCs w:val="24"/>
          <w:lang w:val="ru-RU"/>
        </w:rPr>
        <w:t xml:space="preserve"> изговори име ученика позваног да одговори, да би се све ученици навели на активност, док се не формулише коректан одговор.</w:t>
      </w:r>
    </w:p>
    <w:p w:rsidR="00094879" w:rsidRPr="00E830D0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240" w:lineRule="auto"/>
        <w:ind w:left="360"/>
        <w:textAlignment w:val="baseline"/>
        <w:rPr>
          <w:color w:val="000000"/>
          <w:sz w:val="24"/>
          <w:szCs w:val="24"/>
          <w:lang w:val="ru-RU"/>
        </w:rPr>
      </w:pPr>
      <w:r w:rsidRPr="00E830D0">
        <w:rPr>
          <w:color w:val="000000"/>
          <w:sz w:val="24"/>
          <w:szCs w:val="24"/>
          <w:lang w:val="ru-RU"/>
        </w:rPr>
        <w:t>Ако је задатак захтевнији, могу се на стикерима записати конкретна задужења ученицима, или формулисати питања са одговорима да или не.</w:t>
      </w:r>
    </w:p>
    <w:p w:rsidR="00094879" w:rsidRPr="00E830D0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240" w:lineRule="auto"/>
        <w:ind w:left="360"/>
        <w:textAlignment w:val="baseline"/>
        <w:rPr>
          <w:color w:val="000000"/>
          <w:sz w:val="24"/>
          <w:szCs w:val="24"/>
          <w:lang w:val="ru-RU"/>
        </w:rPr>
      </w:pPr>
      <w:r w:rsidRPr="00E830D0">
        <w:rPr>
          <w:color w:val="000000"/>
          <w:sz w:val="24"/>
          <w:szCs w:val="24"/>
          <w:lang w:val="ru-RU"/>
        </w:rPr>
        <w:t>За процену успешности у усвајању садржаја, могу се припремити папирићи на којима ученик износи утисак.</w:t>
      </w:r>
    </w:p>
    <w:p w:rsidR="00094879" w:rsidRPr="00E830D0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240" w:lineRule="auto"/>
        <w:ind w:left="360"/>
        <w:textAlignment w:val="baseline"/>
        <w:rPr>
          <w:color w:val="000000"/>
          <w:sz w:val="24"/>
          <w:szCs w:val="24"/>
          <w:lang w:val="ru-RU"/>
        </w:rPr>
      </w:pPr>
      <w:r w:rsidRPr="00E830D0">
        <w:rPr>
          <w:color w:val="000000"/>
          <w:sz w:val="24"/>
          <w:szCs w:val="24"/>
          <w:lang w:val="ru-RU"/>
        </w:rPr>
        <w:t>Ученици могу излазећи из кабинета оставити маркером траг на припремљеној мети, што ближе центру свих кругова ако</w:t>
      </w:r>
      <w:r w:rsidRPr="00E830D0">
        <w:rPr>
          <w:color w:val="000000"/>
          <w:sz w:val="24"/>
          <w:szCs w:val="24"/>
        </w:rPr>
        <w:t> </w:t>
      </w:r>
      <w:r w:rsidRPr="00E830D0">
        <w:rPr>
          <w:color w:val="000000"/>
          <w:sz w:val="24"/>
          <w:szCs w:val="24"/>
          <w:lang w:val="ru-RU"/>
        </w:rPr>
        <w:t xml:space="preserve"> час сматрају успешнијим.</w:t>
      </w:r>
    </w:p>
    <w:p w:rsidR="00094879" w:rsidRPr="00B44407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240" w:lineRule="auto"/>
        <w:ind w:left="360"/>
        <w:textAlignment w:val="baseline"/>
        <w:rPr>
          <w:color w:val="000000"/>
          <w:sz w:val="24"/>
          <w:szCs w:val="24"/>
          <w:lang w:val="ru-RU"/>
        </w:rPr>
      </w:pPr>
      <w:r w:rsidRPr="00E830D0">
        <w:rPr>
          <w:color w:val="000000"/>
          <w:sz w:val="24"/>
          <w:szCs w:val="24"/>
          <w:lang w:val="ru-RU"/>
        </w:rPr>
        <w:t>Договор може бити да се сигнализира руком, у складу са супер емотиконом, одн. не баш супер емотиконом, зависно од утиска часа и</w:t>
      </w:r>
      <w:r w:rsidRPr="00E830D0">
        <w:rPr>
          <w:color w:val="000000"/>
          <w:sz w:val="24"/>
          <w:szCs w:val="24"/>
        </w:rPr>
        <w:t> </w:t>
      </w:r>
      <w:r w:rsidRPr="00E830D0">
        <w:rPr>
          <w:color w:val="000000"/>
          <w:sz w:val="24"/>
          <w:szCs w:val="24"/>
          <w:lang w:val="ru-RU"/>
        </w:rPr>
        <w:t xml:space="preserve"> тако на крају часа покаже наставнику очигледна подршка и сигнал о разумевању садржаја.</w:t>
      </w:r>
      <w:r w:rsidRPr="00E830D0">
        <w:rPr>
          <w:color w:val="000000"/>
          <w:sz w:val="24"/>
          <w:szCs w:val="24"/>
          <w:shd w:val="clear" w:color="auto" w:fill="FFFFFF"/>
          <w:lang w:val="ru-RU"/>
        </w:rPr>
        <w:t xml:space="preserve"> Али, процене које наводе на активности и ученика и наставника, могу интерактивним тестовима да се обликују у моћне формативне алате. </w:t>
      </w:r>
    </w:p>
    <w:p w:rsidR="00094879" w:rsidRPr="00B44407" w:rsidRDefault="00094879" w:rsidP="00094879">
      <w:pPr>
        <w:spacing w:before="120" w:after="0"/>
        <w:textAlignment w:val="baseline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</w:t>
      </w:r>
      <w:r>
        <w:rPr>
          <w:color w:val="000000"/>
          <w:sz w:val="24"/>
          <w:szCs w:val="24"/>
          <w:lang w:val="sr-Cyrl-RS"/>
        </w:rPr>
        <w:tab/>
      </w:r>
      <w:r w:rsidRPr="00E830D0">
        <w:rPr>
          <w:color w:val="000000"/>
          <w:sz w:val="24"/>
          <w:szCs w:val="24"/>
          <w:shd w:val="clear" w:color="auto" w:fill="FFFFFF"/>
          <w:lang w:val="ru-RU"/>
        </w:rPr>
        <w:t>Ево примера у којима се после 15-минутне провере, у оквиру апликације непосредно може видети учинак</w:t>
      </w:r>
      <w:r>
        <w:rPr>
          <w:color w:val="000000"/>
          <w:sz w:val="24"/>
          <w:szCs w:val="24"/>
          <w:shd w:val="clear" w:color="auto" w:fill="FFFFFF"/>
          <w:lang w:val="sr-Cyrl-RS"/>
        </w:rPr>
        <w:t>:</w:t>
      </w:r>
    </w:p>
    <w:p w:rsidR="00094879" w:rsidRPr="00E830D0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textAlignment w:val="baseline"/>
        <w:rPr>
          <w:color w:val="7030A0"/>
          <w:sz w:val="24"/>
          <w:szCs w:val="24"/>
        </w:rPr>
      </w:pPr>
      <w:hyperlink r:id="rId8" w:history="1">
        <w:r w:rsidRPr="00E830D0">
          <w:rPr>
            <w:rStyle w:val="Hyperlink"/>
            <w:color w:val="7030A0"/>
            <w:sz w:val="24"/>
            <w:szCs w:val="24"/>
            <w:bdr w:val="none" w:sz="0" w:space="0" w:color="auto" w:frame="1"/>
          </w:rPr>
          <w:t xml:space="preserve">Њутнова </w:t>
        </w:r>
        <w:r w:rsidRPr="00E830D0">
          <w:rPr>
            <w:rStyle w:val="Hyperlink"/>
            <w:color w:val="7030A0"/>
            <w:sz w:val="24"/>
            <w:szCs w:val="24"/>
            <w:bdr w:val="none" w:sz="0" w:space="0" w:color="auto" w:frame="1"/>
          </w:rPr>
          <w:t>б</w:t>
        </w:r>
        <w:r w:rsidRPr="00E830D0">
          <w:rPr>
            <w:rStyle w:val="Hyperlink"/>
            <w:color w:val="7030A0"/>
            <w:sz w:val="24"/>
            <w:szCs w:val="24"/>
            <w:bdr w:val="none" w:sz="0" w:space="0" w:color="auto" w:frame="1"/>
          </w:rPr>
          <w:t>и</w:t>
        </w:r>
        <w:r w:rsidRPr="00E830D0">
          <w:rPr>
            <w:rStyle w:val="Hyperlink"/>
            <w:color w:val="7030A0"/>
            <w:sz w:val="24"/>
            <w:szCs w:val="24"/>
            <w:bdr w:val="none" w:sz="0" w:space="0" w:color="auto" w:frame="1"/>
          </w:rPr>
          <w:t>номна формула;</w:t>
        </w:r>
      </w:hyperlink>
    </w:p>
    <w:p w:rsidR="00094879" w:rsidRPr="00E830D0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color w:val="7030A0"/>
          <w:sz w:val="24"/>
          <w:szCs w:val="24"/>
        </w:rPr>
      </w:pPr>
      <w:hyperlink r:id="rId9" w:history="1">
        <w:r w:rsidRPr="00E830D0">
          <w:rPr>
            <w:rStyle w:val="Hyperlink"/>
            <w:color w:val="7030A0"/>
            <w:sz w:val="24"/>
            <w:szCs w:val="24"/>
            <w:bdr w:val="none" w:sz="0" w:space="0" w:color="auto" w:frame="1"/>
          </w:rPr>
          <w:t>НЗД и НЗС полинома;</w:t>
        </w:r>
      </w:hyperlink>
    </w:p>
    <w:p w:rsidR="00094879" w:rsidRPr="00E830D0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color w:val="7030A0"/>
          <w:sz w:val="24"/>
          <w:szCs w:val="24"/>
        </w:rPr>
      </w:pPr>
      <w:hyperlink r:id="rId10" w:history="1">
        <w:r w:rsidRPr="00E830D0">
          <w:rPr>
            <w:rStyle w:val="Hyperlink"/>
            <w:color w:val="7030A0"/>
            <w:sz w:val="24"/>
            <w:szCs w:val="24"/>
            <w:bdr w:val="none" w:sz="0" w:space="0" w:color="auto" w:frame="1"/>
          </w:rPr>
          <w:t>Операције са коренима;</w:t>
        </w:r>
      </w:hyperlink>
    </w:p>
    <w:p w:rsidR="00094879" w:rsidRPr="00E830D0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color w:val="7030A0"/>
          <w:sz w:val="24"/>
          <w:szCs w:val="24"/>
        </w:rPr>
      </w:pPr>
      <w:hyperlink r:id="rId11" w:history="1">
        <w:r w:rsidRPr="00E830D0">
          <w:rPr>
            <w:rStyle w:val="Hyperlink"/>
            <w:color w:val="7030A0"/>
            <w:sz w:val="24"/>
            <w:szCs w:val="24"/>
            <w:bdr w:val="none" w:sz="0" w:space="0" w:color="auto" w:frame="1"/>
          </w:rPr>
          <w:t>Ирационалан број Пи;</w:t>
        </w:r>
      </w:hyperlink>
    </w:p>
    <w:p w:rsidR="00094879" w:rsidRPr="00E830D0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color w:val="7030A0"/>
          <w:sz w:val="24"/>
          <w:szCs w:val="24"/>
        </w:rPr>
      </w:pPr>
      <w:hyperlink r:id="rId12" w:history="1">
        <w:r w:rsidRPr="00E830D0">
          <w:rPr>
            <w:rStyle w:val="Hyperlink"/>
            <w:color w:val="7030A0"/>
            <w:sz w:val="24"/>
            <w:szCs w:val="24"/>
            <w:bdr w:val="none" w:sz="0" w:space="0" w:color="auto" w:frame="1"/>
          </w:rPr>
          <w:t>Гранична вредност низа;</w:t>
        </w:r>
      </w:hyperlink>
    </w:p>
    <w:p w:rsidR="00094879" w:rsidRPr="00E830D0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color w:val="7030A0"/>
          <w:sz w:val="24"/>
          <w:szCs w:val="24"/>
        </w:rPr>
      </w:pPr>
      <w:hyperlink r:id="rId13" w:history="1">
        <w:r w:rsidRPr="00E830D0">
          <w:rPr>
            <w:rStyle w:val="Hyperlink"/>
            <w:color w:val="7030A0"/>
            <w:sz w:val="24"/>
            <w:szCs w:val="24"/>
            <w:bdr w:val="none" w:sz="0" w:space="0" w:color="auto" w:frame="1"/>
          </w:rPr>
          <w:t>Корен квадратног израза;</w:t>
        </w:r>
      </w:hyperlink>
    </w:p>
    <w:p w:rsidR="00094879" w:rsidRPr="00E830D0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color w:val="7030A0"/>
          <w:sz w:val="24"/>
          <w:szCs w:val="24"/>
        </w:rPr>
      </w:pPr>
      <w:hyperlink r:id="rId14" w:history="1">
        <w:r w:rsidRPr="00E830D0">
          <w:rPr>
            <w:rStyle w:val="Hyperlink"/>
            <w:color w:val="7030A0"/>
            <w:sz w:val="24"/>
            <w:szCs w:val="24"/>
            <w:bdr w:val="none" w:sz="0" w:space="0" w:color="auto" w:frame="1"/>
          </w:rPr>
          <w:t>Особине корена;</w:t>
        </w:r>
      </w:hyperlink>
    </w:p>
    <w:p w:rsidR="00094879" w:rsidRPr="00E830D0" w:rsidRDefault="00094879" w:rsidP="0009487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color w:val="7030A0"/>
          <w:sz w:val="24"/>
          <w:szCs w:val="24"/>
        </w:rPr>
      </w:pPr>
      <w:hyperlink r:id="rId15" w:history="1">
        <w:r w:rsidRPr="00E830D0">
          <w:rPr>
            <w:rStyle w:val="Hyperlink"/>
            <w:color w:val="7030A0"/>
            <w:sz w:val="24"/>
            <w:szCs w:val="24"/>
          </w:rPr>
          <w:t>Факторизација квадратног тринома</w:t>
        </w:r>
      </w:hyperlink>
      <w:r w:rsidRPr="00E830D0">
        <w:rPr>
          <w:color w:val="7030A0"/>
          <w:sz w:val="24"/>
          <w:szCs w:val="24"/>
        </w:rPr>
        <w:t>.</w:t>
      </w:r>
    </w:p>
    <w:p w:rsidR="00094879" w:rsidRPr="00E830D0" w:rsidRDefault="00094879" w:rsidP="00094879">
      <w:pPr>
        <w:spacing w:before="120" w:after="0"/>
        <w:jc w:val="both"/>
        <w:textAlignment w:val="baseline"/>
        <w:rPr>
          <w:color w:val="000000"/>
          <w:sz w:val="24"/>
          <w:szCs w:val="24"/>
          <w:shd w:val="clear" w:color="auto" w:fill="FFFFFF"/>
          <w:lang w:val="ru-RU"/>
        </w:rPr>
      </w:pPr>
      <w:r w:rsidRPr="00E830D0">
        <w:rPr>
          <w:color w:val="000000"/>
          <w:sz w:val="24"/>
          <w:szCs w:val="24"/>
          <w:shd w:val="clear" w:color="auto" w:fill="FFFFFF"/>
        </w:rPr>
        <w:t> </w:t>
      </w:r>
      <w:r w:rsidRPr="00B44407">
        <w:rPr>
          <w:color w:val="000000"/>
          <w:sz w:val="24"/>
          <w:szCs w:val="24"/>
          <w:shd w:val="clear" w:color="auto" w:fill="FFFFFF"/>
          <w:lang w:val="ru-RU"/>
        </w:rPr>
        <w:t xml:space="preserve">     </w:t>
      </w:r>
      <w:r w:rsidRPr="00B44407">
        <w:rPr>
          <w:color w:val="000000"/>
          <w:sz w:val="24"/>
          <w:szCs w:val="24"/>
          <w:shd w:val="clear" w:color="auto" w:fill="FFFFFF"/>
          <w:lang w:val="ru-RU"/>
        </w:rPr>
        <w:tab/>
      </w:r>
      <w:r w:rsidRPr="00E830D0">
        <w:rPr>
          <w:color w:val="000000"/>
          <w:sz w:val="24"/>
          <w:szCs w:val="24"/>
          <w:shd w:val="clear" w:color="auto" w:fill="FFFFFF"/>
          <w:lang w:val="ru-RU"/>
        </w:rPr>
        <w:t>Формативне процене на</w:t>
      </w:r>
      <w:r w:rsidRPr="00E830D0">
        <w:rPr>
          <w:color w:val="000000"/>
          <w:sz w:val="24"/>
          <w:szCs w:val="24"/>
          <w:shd w:val="clear" w:color="auto" w:fill="FFFFFF"/>
        </w:rPr>
        <w:t> </w:t>
      </w:r>
      <w:hyperlink r:id="rId16" w:history="1">
        <w:r w:rsidRPr="00E830D0">
          <w:rPr>
            <w:rStyle w:val="Hyperlink"/>
            <w:color w:val="7030A0"/>
            <w:sz w:val="24"/>
            <w:szCs w:val="24"/>
            <w:bdr w:val="none" w:sz="0" w:space="0" w:color="auto" w:frame="1"/>
            <w:shd w:val="clear" w:color="auto" w:fill="FFFFFF"/>
          </w:rPr>
          <w:t>Zzish</w:t>
        </w:r>
      </w:hyperlink>
      <w:r w:rsidRPr="00E830D0">
        <w:rPr>
          <w:color w:val="000000"/>
          <w:sz w:val="24"/>
          <w:szCs w:val="24"/>
          <w:shd w:val="clear" w:color="auto" w:fill="FFFFFF"/>
        </w:rPr>
        <w:t> </w:t>
      </w:r>
      <w:r w:rsidRPr="00E830D0">
        <w:rPr>
          <w:color w:val="000000"/>
          <w:sz w:val="24"/>
          <w:szCs w:val="24"/>
          <w:shd w:val="clear" w:color="auto" w:fill="FFFFFF"/>
          <w:lang w:val="ru-RU"/>
        </w:rPr>
        <w:t>страници, јасно по имену, ученике сврстава у листу оних који су успешно одрадили задатке, затим листу оних који су скоро па сасвим успешни и листу оних којима треба помоћи у изради.</w:t>
      </w:r>
    </w:p>
    <w:p w:rsidR="00094879" w:rsidRDefault="00094879" w:rsidP="00094879">
      <w:pPr>
        <w:spacing w:before="120" w:after="0"/>
        <w:jc w:val="both"/>
        <w:textAlignment w:val="baseline"/>
        <w:rPr>
          <w:color w:val="000000"/>
          <w:sz w:val="24"/>
          <w:szCs w:val="24"/>
          <w:shd w:val="clear" w:color="auto" w:fill="FFFFFF"/>
          <w:lang w:val="sr-Cyrl-RS"/>
        </w:rPr>
      </w:pPr>
      <w:r>
        <w:rPr>
          <w:color w:val="000000"/>
          <w:sz w:val="24"/>
          <w:szCs w:val="24"/>
          <w:shd w:val="clear" w:color="auto" w:fill="FFFFFF"/>
          <w:lang w:val="sr-Cyrl-RS"/>
        </w:rPr>
        <w:t xml:space="preserve">       </w:t>
      </w:r>
      <w:r>
        <w:rPr>
          <w:color w:val="000000"/>
          <w:sz w:val="24"/>
          <w:szCs w:val="24"/>
          <w:shd w:val="clear" w:color="auto" w:fill="FFFFFF"/>
          <w:lang w:val="sr-Cyrl-RS"/>
        </w:rPr>
        <w:tab/>
      </w:r>
      <w:r w:rsidRPr="00E830D0">
        <w:rPr>
          <w:color w:val="000000"/>
          <w:sz w:val="24"/>
          <w:szCs w:val="24"/>
          <w:shd w:val="clear" w:color="auto" w:fill="FFFFFF"/>
          <w:lang w:val="ru-RU"/>
        </w:rPr>
        <w:t>Мислим да би било добро да о  елемементима савремених наставних метода  проди</w:t>
      </w:r>
      <w:r>
        <w:rPr>
          <w:color w:val="000000"/>
          <w:sz w:val="24"/>
          <w:szCs w:val="24"/>
          <w:shd w:val="clear" w:color="auto" w:fill="FFFFFF"/>
          <w:lang w:val="sr-Cyrl-RS"/>
        </w:rPr>
        <w:t>ск-у</w:t>
      </w:r>
      <w:r w:rsidRPr="00E830D0">
        <w:rPr>
          <w:color w:val="000000"/>
          <w:sz w:val="24"/>
          <w:szCs w:val="24"/>
          <w:shd w:val="clear" w:color="auto" w:fill="FFFFFF"/>
          <w:lang w:val="ru-RU"/>
        </w:rPr>
        <w:t>тују  наставници математике и рачунарства и информатике, на Семинару, а материјале међусобно размене</w:t>
      </w:r>
    </w:p>
    <w:p w:rsidR="00A345A0" w:rsidRPr="00094879" w:rsidRDefault="00A345A0" w:rsidP="00094879"/>
    <w:sectPr w:rsidR="00A345A0" w:rsidRPr="00094879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C6" w:rsidRDefault="008F43C6" w:rsidP="002C6C20">
      <w:pPr>
        <w:spacing w:after="0" w:line="240" w:lineRule="auto"/>
      </w:pPr>
      <w:r>
        <w:separator/>
      </w:r>
    </w:p>
  </w:endnote>
  <w:endnote w:type="continuationSeparator" w:id="0">
    <w:p w:rsidR="008F43C6" w:rsidRDefault="008F43C6" w:rsidP="002C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C6" w:rsidRDefault="008F43C6" w:rsidP="002C6C20">
      <w:pPr>
        <w:spacing w:after="0" w:line="240" w:lineRule="auto"/>
      </w:pPr>
      <w:r>
        <w:separator/>
      </w:r>
    </w:p>
  </w:footnote>
  <w:footnote w:type="continuationSeparator" w:id="0">
    <w:p w:rsidR="008F43C6" w:rsidRDefault="008F43C6" w:rsidP="002C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70CA8"/>
    <w:multiLevelType w:val="multilevel"/>
    <w:tmpl w:val="5052E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6B7"/>
    <w:multiLevelType w:val="multilevel"/>
    <w:tmpl w:val="628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61DEA"/>
    <w:multiLevelType w:val="multilevel"/>
    <w:tmpl w:val="AB5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165C5"/>
    <w:multiLevelType w:val="multilevel"/>
    <w:tmpl w:val="EB0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424F0"/>
    <w:multiLevelType w:val="hybridMultilevel"/>
    <w:tmpl w:val="6E287D72"/>
    <w:lvl w:ilvl="0" w:tplc="AC26BA3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094879"/>
    <w:rsid w:val="00106EC7"/>
    <w:rsid w:val="00136EBB"/>
    <w:rsid w:val="0026062F"/>
    <w:rsid w:val="002C6C20"/>
    <w:rsid w:val="003450B6"/>
    <w:rsid w:val="003F1B17"/>
    <w:rsid w:val="004258CE"/>
    <w:rsid w:val="004B2BB5"/>
    <w:rsid w:val="005119F0"/>
    <w:rsid w:val="0053662A"/>
    <w:rsid w:val="00537758"/>
    <w:rsid w:val="0054090C"/>
    <w:rsid w:val="00570F6D"/>
    <w:rsid w:val="00576C46"/>
    <w:rsid w:val="005D3DAB"/>
    <w:rsid w:val="006434C0"/>
    <w:rsid w:val="00670568"/>
    <w:rsid w:val="006A049D"/>
    <w:rsid w:val="00731365"/>
    <w:rsid w:val="007C0A88"/>
    <w:rsid w:val="007D124C"/>
    <w:rsid w:val="008F43C6"/>
    <w:rsid w:val="009360C7"/>
    <w:rsid w:val="00997AB3"/>
    <w:rsid w:val="00A345A0"/>
    <w:rsid w:val="00B077E9"/>
    <w:rsid w:val="00BB0A9C"/>
    <w:rsid w:val="00BB4610"/>
    <w:rsid w:val="00BB473D"/>
    <w:rsid w:val="00BC0F66"/>
    <w:rsid w:val="00C278FE"/>
    <w:rsid w:val="00C330E5"/>
    <w:rsid w:val="00C34017"/>
    <w:rsid w:val="00D61A8A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  <w:style w:type="character" w:customStyle="1" w:styleId="m-2422309822673739626gmail-mwe-math-element">
    <w:name w:val="m_-2422309822673739626gmail-mwe-math-element"/>
    <w:basedOn w:val="DefaultParagraphFont"/>
    <w:rsid w:val="00BB4610"/>
  </w:style>
  <w:style w:type="character" w:customStyle="1" w:styleId="FootnoteTextChar">
    <w:name w:val="Footnote Text Char"/>
    <w:basedOn w:val="DefaultParagraphFont"/>
    <w:link w:val="FootnoteText"/>
    <w:semiHidden/>
    <w:locked/>
    <w:rsid w:val="002C6C20"/>
  </w:style>
  <w:style w:type="paragraph" w:styleId="FootnoteText">
    <w:name w:val="footnote text"/>
    <w:basedOn w:val="Normal"/>
    <w:link w:val="FootnoteTextChar"/>
    <w:semiHidden/>
    <w:rsid w:val="002C6C20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2C6C2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er.quizalize.com/quiz/56bc8efc-e744-403e-97a3-9228073181d2" TargetMode="External"/><Relationship Id="rId13" Type="http://schemas.openxmlformats.org/officeDocument/2006/relationships/hyperlink" Target="https://player.quizalize.com/quiz/f865403e-296a-4411-a3d7-af715fed26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emamomenti.com/" TargetMode="External"/><Relationship Id="rId12" Type="http://schemas.openxmlformats.org/officeDocument/2006/relationships/hyperlink" Target="https://topgradeapp.com/playQuiz/granichna-vrednost-niz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ve.zzish.com/learninghu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stmoz.com/5881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fMq2030Dmr_dlTFGwkAgTn-Qac6BgD1cIutWsnCevUy5ZhdA/viewform" TargetMode="External"/><Relationship Id="rId10" Type="http://schemas.openxmlformats.org/officeDocument/2006/relationships/hyperlink" Target="https://player.quizalize.com/quiz/3963907b-9755-4511-a202-52de7cdb0e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gradeapp.com/playQuiz/nzd-i-nzs-polinoma" TargetMode="External"/><Relationship Id="rId14" Type="http://schemas.openxmlformats.org/officeDocument/2006/relationships/hyperlink" Target="https://player.quizalize.com/quiz/a282ff76-d87d-401a-91ee-c06fdd82e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2018-01-10T23:34:00Z</dcterms:created>
  <dcterms:modified xsi:type="dcterms:W3CDTF">2018-01-10T23:34:00Z</dcterms:modified>
</cp:coreProperties>
</file>